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B4" w:rsidRDefault="00465BB4" w:rsidP="00465BB4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E578CD" w:rsidRDefault="00E578CD" w:rsidP="00E578CD">
      <w:pPr>
        <w:rPr>
          <w:rStyle w:val="Hyperlink"/>
        </w:rPr>
      </w:pPr>
    </w:p>
    <w:p w:rsidR="00E578CD" w:rsidRDefault="00E578CD" w:rsidP="00E578CD">
      <w:pPr>
        <w:rPr>
          <w:rFonts w:ascii="Trebuchet MS" w:hAnsi="Trebuchet MS"/>
          <w:b/>
          <w:sz w:val="36"/>
          <w:szCs w:val="36"/>
        </w:rPr>
      </w:pPr>
      <w:r w:rsidRPr="00E578CD">
        <w:rPr>
          <w:rFonts w:ascii="Trebuchet MS" w:hAnsi="Trebuchet MS"/>
          <w:b/>
          <w:sz w:val="36"/>
          <w:szCs w:val="36"/>
        </w:rPr>
        <w:t>CATEGORII DE DOCUMENTE PRODUSE ŞI / SAU GESTIONATE, POTRIVIT LEGII</w:t>
      </w:r>
    </w:p>
    <w:p w:rsidR="00E578CD" w:rsidRPr="00E578CD" w:rsidRDefault="00E578CD" w:rsidP="00E578CD">
      <w:pPr>
        <w:rPr>
          <w:rFonts w:ascii="Trebuchet MS" w:hAnsi="Trebuchet MS"/>
          <w:b/>
          <w:sz w:val="36"/>
          <w:szCs w:val="36"/>
        </w:rPr>
      </w:pP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/>
        </w:rPr>
        <w:t>decizii de pensionare cu anexe(buletin de calcul, perioade de activitate, punctaje anuale);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raspunsuri petitii;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adeverinte privind datele necesare determinarii stagiului de cotizare;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carnete de munca, fise de pensie, adeverinte cuprinzand salarii, sporuri, etc.;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cereri de pensionare, de recalculare.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plan multianual (strategic) de audit public intern;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plan anual de audit public intern;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raport anual privind activitatea de audit public intern;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situatii privind raportarea Indicatorilor de performanta ai institutiei;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 xml:space="preserve">capitolul “ Compartiment Audit” din Regulamentul de Organizare si Functionare al CJP (ROF) </w:t>
      </w:r>
    </w:p>
    <w:p w:rsidR="00E578CD" w:rsidRDefault="00E578CD" w:rsidP="00E578CD">
      <w:pPr>
        <w:rPr>
          <w:rFonts w:ascii="Trebuchet MS" w:hAnsi="Trebuchet MS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 xml:space="preserve">documente si situatii specifice activitatii de audit public intern (rapoarte de audit si anexe; 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/>
        </w:rPr>
        <w:t>documente privind reglementari legale;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/>
        </w:rPr>
        <w:t>ordine, dispozitii, precizari, comunicari de la CNPAS;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documente de corespondenta privind activitatea de audit;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documente, situatii, lucrari, rapoarte, analize si recomandari cerute de directorul executiv al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/>
        </w:rPr>
        <w:t>CJP.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/>
        </w:rPr>
        <w:t>acţiuni în instanţă, întampinari, cai de atac formulate in cadrul litigiilor in care institutia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/>
        </w:rPr>
        <w:t>este parte;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rapoarte si informari privind activitatea desfasurata;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intocmire / avizare raspunsuri diverse cereri / decizii debit;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adrese către terte persoane / institutii;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hotarari si decizii acordare drepturi in baza unor legi speciale (Legea nr. 189/2000, Legea nr.340/2002);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comunicate / informatii de presa;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raportari si informari privind activitatea desfasurata;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contracte de achizitii publice.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sym w:font="Symbol" w:char="00D8"/>
      </w:r>
      <w:r>
        <w:rPr>
          <w:rFonts w:ascii="Trebuchet MS" w:hAnsi="Trebuchet MS"/>
        </w:rPr>
        <w:t>documentatie organizare concursuri (pentru ocupare posturi vacante, promovare in clasa,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/>
        </w:rPr>
        <w:t>ocupare posturi suspendate temporar);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decizii personal (incadrare in munca, stabilire salarii, suspendare raporturi de munca, demisii,acordare/modificare raporturi de munca, constituire comisii concursuri, acordare alte drepturisalariale, salarii merit, sporuri prevazute de legi speciale);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contracte de munca;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state de functii conform organigramei;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situatii nominale cu angajatii instituiei;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dosare profesionale ale angajatilor institutiei;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condica de prezenta;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pontaje;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programare concedii de odihna si evisdenta efectuarii lor impreuna cu conducerea institutiei;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adeverinte;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documentatii privind acordarea deducerilor suplimentare;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fise post;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rapoarte de evaluare personal.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documentare de expertiza medicala;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decizii asupra capacitatii de munca;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concluziile medicului expert;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adeverinte concediu medical;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invitatii si citatii;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adrese catre diverse institutii si borderouri catre CJP;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raportari statistice si informari privind activitatea desfasurata;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anchete sociale si cercetari de teren;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raspunsuri petitii.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decizii (pentru dispozitive medicale; compensatii pentru atingerea integritatii; despagubire dedeces);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 xml:space="preserve">referate de avizare; 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raportari statistice;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adrese diverse (catre INEMRCM, CNPAS, CJP, CJAS; spitale; ITM-uri; angajatori; asigurati);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contracte individuale de asigurare AMBP;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avizare concedii medicale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contracte incheiate cu spitalele pentru acordare de servicii medicale pentru boli profesionale.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documente contabile primare;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note contabile;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balanţe de verificare sintetice, analitice şi extrabilanţiere;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conturi de execuţie;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bilanţuri contabile;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raportări statistice;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declaraţii fiscale;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sym w:font="Symbol" w:char="00D8"/>
      </w:r>
      <w:r>
        <w:rPr>
          <w:rFonts w:ascii="Trebuchet MS" w:hAnsi="Trebuchet MS"/>
        </w:rPr>
        <w:t>raportări periodice către C.N.P.A.S..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cereri pentru bilete de tratament;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formulare pentru bilete de tratament;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contracte de asigurare sociala, acte aditionale la contracte;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notificarea respingerii cererii de emitere a formularului E 101;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adeverinteprivind datele necesare determinarii stagiului de cotizare;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adeverinte de venit, adeverinte de stagiu, adeverinte pentru persoanele care au cotizat la fostele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/>
        </w:rPr>
        <w:t>cooperatii mestesugaresti;</w:t>
      </w:r>
    </w:p>
    <w:p w:rsidR="00E578CD" w:rsidRDefault="00E578CD" w:rsidP="00E578CD">
      <w:pPr>
        <w:rPr>
          <w:rFonts w:ascii="Trebuchet MS" w:hAnsi="Trebuchet MS" w:cs="Arial"/>
        </w:rPr>
      </w:pPr>
    </w:p>
    <w:p w:rsidR="00E578CD" w:rsidRDefault="00E578CD" w:rsidP="00E578CD">
      <w:pPr>
        <w:rPr>
          <w:rFonts w:ascii="Trebuchet MS" w:hAnsi="Trebuchet MS" w:cs="Arial"/>
        </w:rPr>
      </w:pP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 xml:space="preserve">Declaratii nominale lunare; 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Declaratii nominale rectificative (fisa inventar de la finante, declaratia privind obligatiile de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/>
        </w:rPr>
        <w:t>plata la bugetul general consolidat de la finante, extras din fisa analitica);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Adeverinte stagii de cotizare si certificate de stagiu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Avize pentru conditii deosebite si speciale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Carnete de munca;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note de intrare recepţie;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bonuri de consum;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comenzi catre furnizori;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foi de parcurs-consum benzina;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fişe de inventar (mijloace fixe, si obiecte de inventar);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fişe de magazine pentru documente cu regim special (bonuri de benzina).</w:t>
      </w:r>
    </w:p>
    <w:p w:rsidR="00E578CD" w:rsidRDefault="00E578CD" w:rsidP="00E578CD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sym w:font="Symbol" w:char="00D8"/>
      </w:r>
      <w:r>
        <w:rPr>
          <w:rFonts w:ascii="Trebuchet MS" w:hAnsi="Trebuchet MS"/>
        </w:rPr>
        <w:t>dosare de pensionare, situatii, acte, etc., predate spre pastrare</w:t>
      </w:r>
    </w:p>
    <w:p w:rsidR="00E578CD" w:rsidRDefault="00E578CD" w:rsidP="00E578CD">
      <w:pPr>
        <w:rPr>
          <w:rFonts w:ascii="Trebuchet MS" w:hAnsi="Trebuchet MS"/>
        </w:rPr>
      </w:pPr>
    </w:p>
    <w:p w:rsidR="00E578CD" w:rsidRDefault="00E578CD" w:rsidP="00E578CD">
      <w:pPr>
        <w:rPr>
          <w:rFonts w:asciiTheme="minorHAnsi" w:eastAsiaTheme="minorHAnsi" w:hAnsiTheme="minorHAnsi"/>
          <w:sz w:val="22"/>
          <w:szCs w:val="22"/>
        </w:rPr>
      </w:pPr>
    </w:p>
    <w:p w:rsidR="002348A4" w:rsidRPr="00465BB4" w:rsidRDefault="002348A4" w:rsidP="00465BB4"/>
    <w:sectPr w:rsidR="002348A4" w:rsidRPr="00465BB4" w:rsidSect="00D35448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810" w:right="806" w:bottom="2160" w:left="1368" w:header="43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B40" w:rsidRDefault="001B0B40" w:rsidP="00DA3EE2">
      <w:r>
        <w:separator/>
      </w:r>
    </w:p>
  </w:endnote>
  <w:endnote w:type="continuationSeparator" w:id="1">
    <w:p w:rsidR="001B0B40" w:rsidRDefault="001B0B40" w:rsidP="00DA3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9A" w:rsidRPr="007B77A7" w:rsidRDefault="00D32105" w:rsidP="00AE4A9A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22"/>
        <w:szCs w:val="22"/>
        <w:lang w:val="fr-FR"/>
      </w:rPr>
    </w:pPr>
    <w:r>
      <w:rPr>
        <w:color w:val="000000"/>
        <w:sz w:val="22"/>
        <w:szCs w:val="22"/>
        <w:lang w:val="ro-RO"/>
      </w:rPr>
      <w:t>Purtator de Cuvant</w:t>
    </w:r>
  </w:p>
  <w:p w:rsidR="00AE4A9A" w:rsidRPr="007B77A7" w:rsidRDefault="00D32105" w:rsidP="00AE4A9A">
    <w:pPr>
      <w:pStyle w:val="Footer"/>
      <w:ind w:left="709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>Str. BRAILEI, nr. 3 BIS, VRANCEA</w:t>
    </w:r>
    <w:r w:rsidRPr="007B77A7">
      <w:rPr>
        <w:color w:val="000000"/>
        <w:sz w:val="18"/>
        <w:szCs w:val="18"/>
        <w:lang w:val="fr-FR"/>
      </w:rPr>
      <w:tab/>
    </w:r>
    <w:r w:rsidRPr="007B77A7">
      <w:rPr>
        <w:color w:val="000000"/>
        <w:sz w:val="18"/>
        <w:szCs w:val="18"/>
        <w:lang w:val="fr-FR"/>
      </w:rPr>
      <w:tab/>
    </w:r>
  </w:p>
  <w:p w:rsidR="00AE4A9A" w:rsidRPr="007B77A7" w:rsidRDefault="00D32105" w:rsidP="00AE4A9A">
    <w:pPr>
      <w:pStyle w:val="Footer"/>
      <w:ind w:left="567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Tel.: +4 021 316 9408</w:t>
    </w:r>
  </w:p>
  <w:p w:rsidR="00AE4A9A" w:rsidRPr="007B77A7" w:rsidRDefault="00D32105" w:rsidP="00AE4A9A">
    <w:pPr>
      <w:pStyle w:val="Footer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cjpvn@cnpas.org</w:t>
    </w:r>
  </w:p>
  <w:p w:rsidR="00AE4A9A" w:rsidRPr="007B77A7" w:rsidRDefault="00D32105" w:rsidP="00AE4A9A">
    <w:pPr>
      <w:pStyle w:val="Footer"/>
      <w:rPr>
        <w:color w:val="000000"/>
        <w:sz w:val="14"/>
        <w:szCs w:val="14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www.cjpvn.ro</w:t>
    </w:r>
  </w:p>
  <w:p w:rsidR="00AE4A9A" w:rsidRDefault="001B0B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BF" w:rsidRPr="00AE4A9A" w:rsidRDefault="00D32105" w:rsidP="00AE4A9A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22"/>
        <w:szCs w:val="22"/>
        <w:lang w:val="ro-RO"/>
      </w:rPr>
    </w:pPr>
    <w:r>
      <w:rPr>
        <w:color w:val="000000"/>
        <w:sz w:val="22"/>
        <w:szCs w:val="22"/>
        <w:lang w:val="ro-RO"/>
      </w:rPr>
      <w:t>Purtator de Cuvant</w:t>
    </w:r>
  </w:p>
  <w:p w:rsidR="00D27EBF" w:rsidRPr="007B77A7" w:rsidRDefault="00D32105" w:rsidP="00D27EBF">
    <w:pPr>
      <w:pStyle w:val="Footer"/>
      <w:ind w:left="709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>Str. BRAILEI, nr. 3 BIS, VRANCEA</w:t>
    </w:r>
    <w:r w:rsidRPr="007B77A7">
      <w:rPr>
        <w:color w:val="000000"/>
        <w:sz w:val="18"/>
        <w:szCs w:val="18"/>
        <w:lang w:val="fr-FR"/>
      </w:rPr>
      <w:tab/>
    </w:r>
    <w:r w:rsidRPr="007B77A7">
      <w:rPr>
        <w:color w:val="000000"/>
        <w:sz w:val="18"/>
        <w:szCs w:val="18"/>
        <w:lang w:val="fr-FR"/>
      </w:rPr>
      <w:tab/>
    </w:r>
  </w:p>
  <w:p w:rsidR="00D27EBF" w:rsidRPr="007B77A7" w:rsidRDefault="00D32105" w:rsidP="00D27EBF">
    <w:pPr>
      <w:pStyle w:val="Footer"/>
      <w:ind w:left="567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Tel.: +4 021 316 9408</w:t>
    </w:r>
  </w:p>
  <w:p w:rsidR="00D27EBF" w:rsidRPr="007B77A7" w:rsidRDefault="00D32105" w:rsidP="00D27EBF">
    <w:pPr>
      <w:pStyle w:val="Footer"/>
      <w:rPr>
        <w:color w:val="000000"/>
        <w:sz w:val="18"/>
        <w:szCs w:val="18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cjpvn@cnpas.org</w:t>
    </w:r>
  </w:p>
  <w:p w:rsidR="00D27EBF" w:rsidRPr="007B77A7" w:rsidRDefault="00D32105" w:rsidP="00D27EBF">
    <w:pPr>
      <w:pStyle w:val="Footer"/>
      <w:rPr>
        <w:color w:val="000000"/>
        <w:sz w:val="14"/>
        <w:szCs w:val="14"/>
        <w:lang w:val="fr-FR"/>
      </w:rPr>
    </w:pPr>
    <w:r w:rsidRPr="007B77A7">
      <w:rPr>
        <w:color w:val="000000"/>
        <w:sz w:val="18"/>
        <w:szCs w:val="18"/>
        <w:lang w:val="fr-FR"/>
      </w:rPr>
      <w:t xml:space="preserve">                www.cjpvn.ro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B40" w:rsidRDefault="001B0B40" w:rsidP="00DA3EE2">
      <w:r>
        <w:separator/>
      </w:r>
    </w:p>
  </w:footnote>
  <w:footnote w:type="continuationSeparator" w:id="1">
    <w:p w:rsidR="001B0B40" w:rsidRDefault="001B0B40" w:rsidP="00DA3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2A" w:rsidRDefault="00D32105" w:rsidP="0057684D">
    <w:pPr>
      <w:pStyle w:val="Header"/>
      <w:ind w:left="-900"/>
      <w:rPr>
        <w:noProof/>
        <w:color w:val="003399"/>
        <w:lang w:val="ro-RO" w:eastAsia="ro-RO"/>
      </w:rPr>
    </w:pPr>
    <w:r w:rsidRPr="005D3BF1">
      <w:rPr>
        <w:noProof/>
        <w:color w:val="003399"/>
        <w:lang w:val="ro-RO" w:eastAsia="ro-RO"/>
      </w:rPr>
      <w:t xml:space="preserve">                                                                                                 </w:t>
    </w:r>
  </w:p>
  <w:p w:rsidR="00C2562A" w:rsidRDefault="001B0B40" w:rsidP="0057684D">
    <w:pPr>
      <w:pStyle w:val="Header"/>
      <w:ind w:left="-900"/>
      <w:rPr>
        <w:noProof/>
        <w:color w:val="003399"/>
        <w:lang w:val="ro-RO" w:eastAsia="ro-RO"/>
      </w:rPr>
    </w:pPr>
  </w:p>
  <w:p w:rsidR="00070916" w:rsidRDefault="00D32105" w:rsidP="0057684D">
    <w:pPr>
      <w:pStyle w:val="Header"/>
      <w:ind w:left="-900"/>
      <w:rPr>
        <w:noProof/>
        <w:color w:val="003399"/>
        <w:lang w:val="ro-RO" w:eastAsia="ro-RO"/>
      </w:rPr>
    </w:pPr>
    <w:r w:rsidRPr="005D3BF1">
      <w:rPr>
        <w:noProof/>
        <w:color w:val="003399"/>
        <w:lang w:val="ro-RO" w:eastAsia="ro-RO"/>
      </w:rPr>
      <w:t xml:space="preserve">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BF" w:rsidRDefault="00DA3EE2">
    <w:pPr>
      <w:pStyle w:val="Header"/>
      <w:rPr>
        <w:noProof/>
        <w:lang w:val="ro-RO" w:eastAsia="ro-RO"/>
      </w:rPr>
    </w:pPr>
    <w:r>
      <w:rPr>
        <w:noProof/>
      </w:rPr>
      <w:pict>
        <v:group id="_x0000_s1025" style="position:absolute;margin-left:342pt;margin-top:3.95pt;width:162pt;height:63pt;z-index:251657216" coordorigin="3042,1818" coordsize="5751,219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3042;top:1818;width:1708;height:1819">
            <v:imagedata r:id="rId1" o:title="" croptop="7370f" cropbottom="26584f" cropleft="6106f" cropright="44470f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alt="Casa NațIonală de Pensii Publice" style="position:absolute;left:3138;top:3705;width:5655;height:303" fillcolor="#002d87" stroked="f">
            <v:shadow color="#b2b2b2" opacity="52429f" offset="3pt"/>
            <v:textpath style="font-family:&quot;Arial Narrow&quot;;font-size:18pt;v-text-kern:t" trim="t" fitpath="t" string="Casa Judeteana de Pensii Vrancea"/>
            <o:lock v:ext="edit" aspectratio="t"/>
          </v:shape>
          <v:shape id="_x0000_s1028" type="#_x0000_t136" style="position:absolute;left:4913;top:2483;width:3880;height:1063" fillcolor="#002d87" stroked="f">
            <v:shadow color="#b2b2b2" opacity="52429f" offset="3pt"/>
            <v:textpath style="font-family:&quot;Arial Narrow&quot;;font-size:66pt;font-weight:bold;v-text-spacing:58985f;v-text-kern:t;v-same-letter-heights:t" trim="t" fitpath="t" string="CNPP"/>
            <o:lock v:ext="edit" aspectratio="t"/>
          </v:shape>
        </v:group>
      </w:pict>
    </w:r>
    <w:r w:rsidRPr="00DA3EE2">
      <w:rPr>
        <w:noProof/>
        <w:lang w:val="ro-RO" w:eastAsia="ro-RO"/>
      </w:rPr>
      <w:pict>
        <v:shape id="Picture 4" o:spid="_x0000_i1025" type="#_x0000_t75" style="width:279pt;height:66.75pt;visibility:visible">
          <v:imagedata r:id="rId2" o:title=""/>
          <v:shadow on="t" offset="0" offset2="-4pt"/>
        </v:shape>
      </w:pict>
    </w:r>
  </w:p>
  <w:p w:rsidR="00D27EBF" w:rsidRDefault="00DA3EE2">
    <w:pPr>
      <w:pStyle w:val="Header"/>
      <w:rPr>
        <w:noProof/>
        <w:lang w:val="ro-RO" w:eastAsia="ro-RO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2.35pt;margin-top:9.15pt;width:228.65pt;height:9.7pt;z-index:251658240;mso-height-percent:200;mso-height-percent:200;mso-width-relative:margin;mso-height-relative:margin" stroked="f">
          <v:textbox style="mso-next-textbox:#_x0000_s1029">
            <w:txbxContent>
              <w:p w:rsidR="00D27EBF" w:rsidRPr="00587E2F" w:rsidRDefault="001B0B40" w:rsidP="00587E2F"/>
            </w:txbxContent>
          </v:textbox>
        </v:shape>
      </w:pict>
    </w:r>
  </w:p>
  <w:p w:rsidR="00D27EBF" w:rsidRPr="00D27EBF" w:rsidRDefault="001B0B40">
    <w:pPr>
      <w:pStyle w:val="Header"/>
      <w:rPr>
        <w:noProof/>
        <w:lang w:val="ro-RO" w:eastAsia="ro-R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65BB4"/>
    <w:rsid w:val="001B0B40"/>
    <w:rsid w:val="002348A4"/>
    <w:rsid w:val="00465BB4"/>
    <w:rsid w:val="00D32105"/>
    <w:rsid w:val="00DA3EE2"/>
    <w:rsid w:val="00E578CD"/>
    <w:rsid w:val="00FA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B4"/>
    <w:pPr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5BB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5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BB4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465BB4"/>
    <w:rPr>
      <w:b/>
      <w:bCs/>
    </w:rPr>
  </w:style>
  <w:style w:type="character" w:customStyle="1" w:styleId="st">
    <w:name w:val="st"/>
    <w:basedOn w:val="DefaultParagraphFont"/>
    <w:rsid w:val="00465BB4"/>
  </w:style>
  <w:style w:type="character" w:styleId="Hyperlink">
    <w:name w:val="Hyperlink"/>
    <w:basedOn w:val="DefaultParagraphFont"/>
    <w:uiPriority w:val="99"/>
    <w:semiHidden/>
    <w:unhideWhenUsed/>
    <w:rsid w:val="00E57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statiex</dc:creator>
  <cp:keywords/>
  <dc:description/>
  <cp:lastModifiedBy>statiex</cp:lastModifiedBy>
  <cp:revision>2</cp:revision>
  <dcterms:created xsi:type="dcterms:W3CDTF">2016-04-15T05:44:00Z</dcterms:created>
  <dcterms:modified xsi:type="dcterms:W3CDTF">2016-04-15T05:44:00Z</dcterms:modified>
</cp:coreProperties>
</file>